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9" w:rsidRDefault="00845259" w:rsidP="0084525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Times New Roman" w:eastAsia="方正小标宋简体" w:hAnsi="Times New Roman"/>
          <w:b w:val="0"/>
          <w:bCs w:val="0"/>
          <w:sz w:val="32"/>
          <w:szCs w:val="32"/>
        </w:rPr>
      </w:pPr>
    </w:p>
    <w:p w:rsidR="00845259" w:rsidRDefault="00845259" w:rsidP="0084525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Times New Roman" w:eastAsia="方正小标宋简体" w:hAnsi="Times New Roman"/>
          <w:b w:val="0"/>
          <w:bCs w:val="0"/>
          <w:sz w:val="44"/>
          <w:szCs w:val="44"/>
        </w:rPr>
      </w:pPr>
      <w:r w:rsidRPr="00F678B6">
        <w:rPr>
          <w:rStyle w:val="a6"/>
          <w:rFonts w:ascii="Times New Roman" w:eastAsia="方正小标宋简体" w:hAnsi="Times New Roman"/>
          <w:b w:val="0"/>
          <w:bCs w:val="0"/>
          <w:sz w:val="44"/>
          <w:szCs w:val="44"/>
        </w:rPr>
        <w:t>寿光市人才发展集团</w:t>
      </w:r>
      <w:r w:rsidRPr="00F678B6">
        <w:rPr>
          <w:rStyle w:val="a6"/>
          <w:rFonts w:ascii="Times New Roman" w:eastAsia="方正小标宋简体" w:hAnsi="Times New Roman" w:hint="eastAsia"/>
          <w:b w:val="0"/>
          <w:bCs w:val="0"/>
          <w:sz w:val="44"/>
          <w:szCs w:val="44"/>
        </w:rPr>
        <w:t>招聘岗位</w:t>
      </w:r>
      <w:r w:rsidRPr="00F678B6">
        <w:rPr>
          <w:rStyle w:val="a6"/>
          <w:rFonts w:ascii="Times New Roman" w:eastAsia="方正小标宋简体" w:hAnsi="Times New Roman"/>
          <w:b w:val="0"/>
          <w:bCs w:val="0"/>
          <w:sz w:val="44"/>
          <w:szCs w:val="44"/>
        </w:rPr>
        <w:t>计划表</w:t>
      </w:r>
    </w:p>
    <w:p w:rsidR="00845259" w:rsidRPr="00F678B6" w:rsidRDefault="00845259" w:rsidP="00845259">
      <w:pPr>
        <w:pStyle w:val="a5"/>
        <w:spacing w:before="0" w:beforeAutospacing="0" w:after="0" w:afterAutospacing="0" w:line="320" w:lineRule="exact"/>
        <w:jc w:val="center"/>
        <w:rPr>
          <w:rStyle w:val="a6"/>
          <w:rFonts w:ascii="Times New Roman" w:eastAsia="方正小标宋简体" w:hAnsi="Times New Roman"/>
          <w:b w:val="0"/>
          <w:bCs w:val="0"/>
          <w:sz w:val="32"/>
          <w:szCs w:val="32"/>
        </w:rPr>
      </w:pPr>
    </w:p>
    <w:tbl>
      <w:tblPr>
        <w:tblStyle w:val="a7"/>
        <w:tblW w:w="14613" w:type="dxa"/>
        <w:jc w:val="center"/>
        <w:tblInd w:w="-1555" w:type="dxa"/>
        <w:tblLook w:val="04A0"/>
      </w:tblPr>
      <w:tblGrid>
        <w:gridCol w:w="875"/>
        <w:gridCol w:w="851"/>
        <w:gridCol w:w="709"/>
        <w:gridCol w:w="7217"/>
        <w:gridCol w:w="4961"/>
      </w:tblGrid>
      <w:tr w:rsidR="00845259" w:rsidRPr="00E1461E" w:rsidTr="00BD6786">
        <w:trPr>
          <w:trHeight w:val="577"/>
          <w:tblHeader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黑体" w:hAnsi="Times New Roman"/>
              </w:rPr>
            </w:pPr>
            <w:r w:rsidRPr="00E1461E">
              <w:rPr>
                <w:rFonts w:ascii="Times New Roman" w:eastAsia="黑体" w:hAnsi="Times New Roman"/>
              </w:rPr>
              <w:t>序号</w:t>
            </w:r>
          </w:p>
        </w:tc>
        <w:tc>
          <w:tcPr>
            <w:tcW w:w="851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黑体" w:hAnsi="Times New Roman"/>
              </w:rPr>
            </w:pPr>
            <w:r w:rsidRPr="00E1461E">
              <w:rPr>
                <w:rFonts w:ascii="Times New Roman" w:eastAsia="黑体" w:hAnsi="Times New Roman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黑体" w:hAnsi="Times New Roman"/>
              </w:rPr>
            </w:pPr>
            <w:r w:rsidRPr="00E1461E">
              <w:rPr>
                <w:rFonts w:ascii="Times New Roman" w:eastAsia="黑体" w:hAnsi="Times New Roman"/>
              </w:rPr>
              <w:t>数量</w:t>
            </w:r>
          </w:p>
        </w:tc>
        <w:tc>
          <w:tcPr>
            <w:tcW w:w="7217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岗位</w:t>
            </w:r>
            <w:r w:rsidRPr="00E1461E">
              <w:rPr>
                <w:rFonts w:ascii="Times New Roman" w:eastAsia="黑体" w:hAnsi="Times New Roman"/>
              </w:rPr>
              <w:t>要求</w:t>
            </w:r>
          </w:p>
        </w:tc>
        <w:tc>
          <w:tcPr>
            <w:tcW w:w="4961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黑体" w:hAnsi="Times New Roman"/>
              </w:rPr>
            </w:pPr>
            <w:r w:rsidRPr="00E1461E">
              <w:rPr>
                <w:rFonts w:ascii="Times New Roman" w:eastAsia="黑体" w:hAnsi="Times New Roman"/>
              </w:rPr>
              <w:t>岗位职责</w:t>
            </w:r>
          </w:p>
        </w:tc>
      </w:tr>
      <w:tr w:rsidR="00845259" w:rsidRPr="00E1461E" w:rsidTr="00BD6786">
        <w:trPr>
          <w:trHeight w:val="1397"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财务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845259" w:rsidRPr="000743C5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会计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财务管理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、审计学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专业，全日制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大学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本科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及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以上学历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，具有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年及以上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从事会计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财务管理等相关工作经验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具有中级以上财会专业资格证书或担任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会计师事务所、大型企业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财务经理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年以上或具有注册会计师、税务师资格者优先；</w:t>
            </w:r>
          </w:p>
          <w:p w:rsidR="00845259" w:rsidRPr="000743C5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、熟悉国家财经法律法规、税收政策法规、会计准则，具备扎实的财会专业理论知识和实务经验，具备较强的财务管理能力和风险防范能力；</w:t>
            </w:r>
          </w:p>
          <w:p w:rsidR="00845259" w:rsidRPr="000743C5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、具有强烈的事业心以及良好的沟通、协调、组织能力、团队合作精神，工作严谨细致，有原则性，能够承受较强工作压力；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能够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熟练操作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office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、财务软件等相关办公、财务软件。</w:t>
            </w:r>
          </w:p>
        </w:tc>
        <w:tc>
          <w:tcPr>
            <w:tcW w:w="496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负责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健全和完善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集团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财务管理制度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，组织实施单位财务管理、税务管理、会计核算和会计监督工作；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、负责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经费审核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财务核算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纳税申报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汇算清缴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报表编制、财务预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决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算、薪酬发放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统计报表等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工作；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、负责集团会计核算规范，提供和披露财务会计信息真实、完整。</w:t>
            </w:r>
          </w:p>
        </w:tc>
      </w:tr>
      <w:tr w:rsidR="00845259" w:rsidRPr="00E1461E" w:rsidTr="00BD6786">
        <w:trPr>
          <w:trHeight w:val="1397"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法务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、法学专业，全日制大学本科及以上学历，具有法律职业资格证书，具有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年以上法务相关工作经验；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、熟悉《劳动法》</w:t>
            </w:r>
            <w:r w:rsidRPr="008B3BFA">
              <w:rPr>
                <w:rFonts w:ascii="Times New Roman" w:eastAsia="仿宋_GB2312" w:hAnsi="Times New Roman" w:hint="eastAsia"/>
                <w:sz w:val="21"/>
                <w:szCs w:val="21"/>
              </w:rPr>
              <w:t>《劳动合同法》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以及</w:t>
            </w:r>
            <w:r w:rsidRPr="008B3BFA">
              <w:rPr>
                <w:rFonts w:ascii="Times New Roman" w:eastAsia="仿宋_GB2312" w:hAnsi="Times New Roman" w:hint="eastAsia"/>
                <w:sz w:val="21"/>
                <w:szCs w:val="21"/>
              </w:rPr>
              <w:t>人力资源管理相关法律法规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和国企相关工作条例；</w:t>
            </w:r>
          </w:p>
          <w:p w:rsidR="00845259" w:rsidRPr="008B3BFA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B18A7">
              <w:rPr>
                <w:rFonts w:ascii="Times New Roman" w:eastAsia="仿宋_GB2312" w:hAnsi="Times New Roman" w:hint="eastAsia"/>
                <w:sz w:val="21"/>
                <w:szCs w:val="21"/>
              </w:rPr>
              <w:t>具有较强的风险分析判断能力和良好的沟通协调及报告撰写能力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107C9">
              <w:rPr>
                <w:rFonts w:ascii="Times New Roman" w:eastAsia="仿宋_GB2312" w:hAnsi="Times New Roman" w:hint="eastAsia"/>
                <w:sz w:val="21"/>
                <w:szCs w:val="21"/>
              </w:rPr>
              <w:t>负责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集团</w:t>
            </w:r>
            <w:r w:rsidRPr="002107C9">
              <w:rPr>
                <w:rFonts w:ascii="Times New Roman" w:eastAsia="仿宋_GB2312" w:hAnsi="Times New Roman" w:hint="eastAsia"/>
                <w:sz w:val="21"/>
                <w:szCs w:val="21"/>
              </w:rPr>
              <w:t>法律合规管理工作，包括诉讼及非诉法律事务、合同审核等工作，为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集团</w:t>
            </w:r>
            <w:r w:rsidRPr="002107C9">
              <w:rPr>
                <w:rFonts w:ascii="Times New Roman" w:eastAsia="仿宋_GB2312" w:hAnsi="Times New Roman" w:hint="eastAsia"/>
                <w:sz w:val="21"/>
                <w:szCs w:val="21"/>
              </w:rPr>
              <w:t>不良资产、资产管理和基金等业务开展提供法律保障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B18A7">
              <w:rPr>
                <w:rFonts w:ascii="Times New Roman" w:eastAsia="仿宋_GB2312" w:hAnsi="Times New Roman" w:hint="eastAsia"/>
                <w:sz w:val="21"/>
                <w:szCs w:val="21"/>
              </w:rPr>
              <w:t>开展有关法务方面的尽职调查、可行性论证等工作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</w:p>
          <w:p w:rsidR="00845259" w:rsidRPr="002B18A7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B18A7">
              <w:rPr>
                <w:rFonts w:ascii="Times New Roman" w:eastAsia="仿宋_GB2312" w:hAnsi="Times New Roman" w:hint="eastAsia"/>
                <w:sz w:val="21"/>
                <w:szCs w:val="21"/>
              </w:rPr>
              <w:t>参与投后风险跟踪相关事项处理与协调。</w:t>
            </w:r>
          </w:p>
        </w:tc>
      </w:tr>
      <w:tr w:rsidR="00845259" w:rsidRPr="00E1461E" w:rsidTr="00BD6786">
        <w:trPr>
          <w:trHeight w:val="2141"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创投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、金融学、经济学、</w:t>
            </w:r>
            <w:r w:rsidRPr="000743C5">
              <w:rPr>
                <w:rFonts w:ascii="Times New Roman" w:eastAsia="仿宋_GB2312" w:hAnsi="Times New Roman"/>
                <w:sz w:val="21"/>
                <w:szCs w:val="21"/>
              </w:rPr>
              <w:t>会计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</w:t>
            </w:r>
            <w:r w:rsidRPr="000743C5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财务管理</w:t>
            </w:r>
            <w:r w:rsidR="00A421EF">
              <w:rPr>
                <w:rFonts w:ascii="Times New Roman" w:eastAsia="仿宋_GB2312" w:hAnsi="Times New Roman" w:hint="eastAsia"/>
                <w:sz w:val="21"/>
                <w:szCs w:val="21"/>
              </w:rPr>
              <w:t>、审计学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专</w:t>
            </w:r>
            <w:r w:rsidRPr="00B050CA">
              <w:rPr>
                <w:rFonts w:ascii="Times New Roman" w:eastAsia="仿宋_GB2312" w:hAnsi="Times New Roman" w:hint="eastAsia"/>
                <w:sz w:val="21"/>
                <w:szCs w:val="21"/>
              </w:rPr>
              <w:t>业，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全日制大学本科及以上学历。具有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年以上基金、证券、投融资等实际操作经验或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相关专业从业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（执业）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资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格证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优先；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、熟悉基金、创投业务，具有较强的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财务基础，熟练掌握资产评估流程及方法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、具有较强的外联开拓能力，对人才项目、创投项目具有较强的敏锐性和较强的判断力，能够独立或协助开展尽职调查工作。</w:t>
            </w:r>
          </w:p>
        </w:tc>
        <w:tc>
          <w:tcPr>
            <w:tcW w:w="496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、</w:t>
            </w:r>
            <w:r w:rsidRPr="00E1461E"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  <w:t>负责协助部门负责人进行人才创投项目尽职调查、分析研判、可行性论证等工作；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、</w:t>
            </w:r>
            <w:r w:rsidRPr="00E1461E"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  <w:t>推荐与整合产业领域内相关人才项目资源，参与直接投资与项目综合管理，参与投后风险跟踪相关事项处理与协调。</w:t>
            </w:r>
          </w:p>
        </w:tc>
      </w:tr>
      <w:tr w:rsidR="00845259" w:rsidRPr="00E1461E" w:rsidTr="00BD6786">
        <w:trPr>
          <w:trHeight w:val="1804"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人力</w:t>
            </w:r>
          </w:p>
          <w:p w:rsidR="00A421EF" w:rsidRDefault="00A421EF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资源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服务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、专业不限，全日制大学本科及以上学历；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、熟悉现代企业人力资源管理制度，具备一定的人才发展模式体系设计能力和独立解决问题能力；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、有较强的沟通能力、执行能力，良好的资源整合能力，团队协作意识强、责任心强。</w:t>
            </w:r>
          </w:p>
        </w:tc>
        <w:tc>
          <w:tcPr>
            <w:tcW w:w="4961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主要从事人才招聘、人才服务、人才评价</w:t>
            </w:r>
            <w:r w:rsidRPr="00DD6BAE"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等业务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845259" w:rsidRPr="00E1461E" w:rsidTr="00BD6786">
        <w:trPr>
          <w:trHeight w:val="1860"/>
          <w:jc w:val="center"/>
        </w:trPr>
        <w:tc>
          <w:tcPr>
            <w:tcW w:w="875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交流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培训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、英语专业，具有全日制大学本科及以上学历，能够熟练掌握英语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听说读写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综合素质良好，具有较强的文字表达能力、组织协调能力、沟通交流能力。</w:t>
            </w:r>
          </w:p>
        </w:tc>
        <w:tc>
          <w:tcPr>
            <w:tcW w:w="4961" w:type="dxa"/>
            <w:vAlign w:val="center"/>
          </w:tcPr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、联系对接高校院所专家教授和海内外人才；</w:t>
            </w:r>
          </w:p>
          <w:p w:rsidR="00845259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负责人才项目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对接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人才活动策划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</w:p>
          <w:p w:rsidR="00845259" w:rsidRPr="00E1461E" w:rsidRDefault="00845259" w:rsidP="00BD6786">
            <w:pPr>
              <w:pStyle w:val="a5"/>
              <w:spacing w:before="0" w:beforeAutospacing="0" w:after="0" w:afterAutospacing="0" w:line="280" w:lineRule="exact"/>
              <w:ind w:firstLineChars="200" w:firstLine="420"/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、组织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各类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人才</w:t>
            </w:r>
            <w:r w:rsidRPr="00E1461E">
              <w:rPr>
                <w:rFonts w:ascii="Times New Roman" w:eastAsia="仿宋_GB2312" w:hAnsi="Times New Roman"/>
                <w:sz w:val="21"/>
                <w:szCs w:val="21"/>
              </w:rPr>
              <w:t>培训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活动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:rsidR="00845259" w:rsidRPr="00005866" w:rsidRDefault="00845259" w:rsidP="00845259">
      <w:pPr>
        <w:spacing w:line="14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744400" w:rsidRPr="00845259" w:rsidRDefault="00744400"/>
    <w:sectPr w:rsidR="00744400" w:rsidRPr="00845259" w:rsidSect="00F678B6">
      <w:footerReference w:type="default" r:id="rId6"/>
      <w:pgSz w:w="16838" w:h="11906" w:orient="landscape"/>
      <w:pgMar w:top="170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B1" w:rsidRDefault="000E54B1" w:rsidP="00845259">
      <w:r>
        <w:separator/>
      </w:r>
    </w:p>
  </w:endnote>
  <w:endnote w:type="continuationSeparator" w:id="1">
    <w:p w:rsidR="000E54B1" w:rsidRDefault="000E54B1" w:rsidP="0084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D82EC1">
    <w:pPr>
      <w:pStyle w:val="a4"/>
      <w:jc w:val="center"/>
    </w:pPr>
    <w:r w:rsidRPr="00D82EC1">
      <w:rPr>
        <w:rFonts w:ascii="Times New Roman" w:hAnsi="Times New Roman" w:cs="Times New Roman"/>
        <w:sz w:val="21"/>
        <w:szCs w:val="21"/>
      </w:rPr>
      <w:fldChar w:fldCharType="begin"/>
    </w:r>
    <w:r w:rsidR="00744400" w:rsidRPr="00810630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D82EC1">
      <w:rPr>
        <w:rFonts w:ascii="Times New Roman" w:hAnsi="Times New Roman" w:cs="Times New Roman"/>
        <w:sz w:val="21"/>
        <w:szCs w:val="21"/>
      </w:rPr>
      <w:fldChar w:fldCharType="separate"/>
    </w:r>
    <w:r w:rsidR="00E72BAF" w:rsidRPr="00E72BAF">
      <w:rPr>
        <w:rFonts w:ascii="Times New Roman" w:hAnsi="Times New Roman" w:cs="Times New Roman"/>
        <w:noProof/>
        <w:sz w:val="21"/>
        <w:szCs w:val="21"/>
        <w:lang w:val="zh-CN"/>
      </w:rPr>
      <w:t>2</w:t>
    </w:r>
    <w:r w:rsidRPr="00810630">
      <w:rPr>
        <w:rFonts w:ascii="Times New Roman" w:hAnsi="Times New Roman" w:cs="Times New Roman"/>
        <w:noProof/>
        <w:sz w:val="21"/>
        <w:szCs w:val="21"/>
        <w:lang w:val="zh-CN"/>
      </w:rPr>
      <w:fldChar w:fldCharType="end"/>
    </w:r>
  </w:p>
  <w:p w:rsidR="00AB3F73" w:rsidRDefault="000E54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B1" w:rsidRDefault="000E54B1" w:rsidP="00845259">
      <w:r>
        <w:separator/>
      </w:r>
    </w:p>
  </w:footnote>
  <w:footnote w:type="continuationSeparator" w:id="1">
    <w:p w:rsidR="000E54B1" w:rsidRDefault="000E54B1" w:rsidP="00845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259"/>
    <w:rsid w:val="000E54B1"/>
    <w:rsid w:val="00744400"/>
    <w:rsid w:val="007C1B0B"/>
    <w:rsid w:val="00845259"/>
    <w:rsid w:val="00A421EF"/>
    <w:rsid w:val="00CB6490"/>
    <w:rsid w:val="00D82EC1"/>
    <w:rsid w:val="00E7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2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5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845259"/>
    <w:rPr>
      <w:b/>
      <w:bCs/>
    </w:rPr>
  </w:style>
  <w:style w:type="table" w:styleId="a7">
    <w:name w:val="Table Grid"/>
    <w:basedOn w:val="a1"/>
    <w:rsid w:val="008452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2021-05-31T03:04:00Z</cp:lastPrinted>
  <dcterms:created xsi:type="dcterms:W3CDTF">2021-05-31T02:13:00Z</dcterms:created>
  <dcterms:modified xsi:type="dcterms:W3CDTF">2021-05-31T06:01:00Z</dcterms:modified>
</cp:coreProperties>
</file>