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3E7D"/>
          <w:spacing w:val="0"/>
          <w:sz w:val="27"/>
          <w:szCs w:val="27"/>
          <w:bdr w:val="none" w:color="auto" w:sz="0" w:space="0"/>
          <w:shd w:val="clear" w:fill="FFFFFF"/>
        </w:rPr>
        <w:t>山东第一医科大学附属省立医院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招收专业及计划</w:t>
      </w:r>
    </w:p>
    <w:bookmarkEnd w:id="0"/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2108"/>
        <w:gridCol w:w="2108"/>
        <w:gridCol w:w="2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培训专业基地名称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招生计划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培训专业基地名称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儿外科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急诊科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临床病理科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放射肿瘤科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皮肤科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外科（神经外科方向）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外科（泌尿外科方向）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外科（胸心外科方向）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外科（整形外科方向）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耳鼻咽喉科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口腔颌面外科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检验医学科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口腔正畸科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超声医学科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口腔修复科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放射科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口腔内科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康复医学科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口腔全科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骨科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核医学科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医学遗传科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D187A"/>
    <w:rsid w:val="614D1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2020-08-10T03:27:00Z</dcterms:created>
  <dc:creator>ASUS</dc:creator>
  <cp:lastModifiedBy>ASUS</cp:lastModifiedBy>
  <dcterms:modified xsi:type="dcterms:W3CDTF">2020-08-10T03:28:04Z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