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default" w:ascii="Times New Roman" w:hAnsi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/>
          <w:color w:val="auto"/>
          <w:sz w:val="32"/>
        </w:rPr>
        <w:t>附件</w:t>
      </w:r>
      <w:r>
        <w:rPr>
          <w:rFonts w:hint="default" w:ascii="Times New Roman" w:hAnsi="Times New Roman" w:eastAsia="PMingLiU"/>
          <w:color w:val="auto"/>
          <w:sz w:val="32"/>
        </w:rPr>
        <w:t>2</w:t>
      </w:r>
      <w:r>
        <w:rPr>
          <w:rFonts w:hint="default" w:ascii="Times New Roman" w:hAnsi="Times New Roman"/>
          <w:color w:val="auto"/>
          <w:sz w:val="32"/>
          <w:lang w:eastAsia="zh-CN"/>
        </w:rPr>
        <w:t>：</w:t>
      </w:r>
    </w:p>
    <w:p>
      <w:pPr>
        <w:pStyle w:val="2"/>
        <w:spacing w:before="0" w:line="540" w:lineRule="exact"/>
        <w:ind w:right="340"/>
        <w:jc w:val="both"/>
        <w:rPr>
          <w:rFonts w:hint="default" w:ascii="Times New Roman" w:hAnsi="Times New Roman" w:eastAsia="PMingLiU"/>
          <w:color w:val="auto"/>
          <w:spacing w:val="0"/>
          <w:sz w:val="32"/>
        </w:rPr>
      </w:pPr>
    </w:p>
    <w:p>
      <w:pPr>
        <w:pStyle w:val="2"/>
        <w:spacing w:before="0" w:line="540" w:lineRule="exact"/>
        <w:ind w:right="40"/>
        <w:jc w:val="center"/>
        <w:rPr>
          <w:rFonts w:hint="default" w:ascii="Times New Roman" w:hAnsi="Times New Roman" w:eastAsia="方正小标宋简体"/>
          <w:color w:val="auto"/>
          <w:spacing w:val="0"/>
          <w:sz w:val="44"/>
        </w:rPr>
      </w:pPr>
      <w:r>
        <w:rPr>
          <w:rFonts w:ascii="Times New Roman" w:hAnsi="Times New Roman" w:eastAsia="方正小标宋简体"/>
          <w:color w:val="auto"/>
          <w:spacing w:val="0"/>
          <w:sz w:val="44"/>
          <w:lang w:eastAsia="zh-CN"/>
        </w:rPr>
        <w:t>威海市</w:t>
      </w:r>
      <w:r>
        <w:rPr>
          <w:rFonts w:hint="default" w:ascii="Times New Roman" w:hAnsi="Times New Roman" w:eastAsia="方正小标宋简体"/>
          <w:color w:val="auto"/>
          <w:spacing w:val="0"/>
          <w:sz w:val="44"/>
        </w:rPr>
        <w:t>文登区20</w:t>
      </w:r>
      <w:r>
        <w:rPr>
          <w:rFonts w:hint="default" w:ascii="Times New Roman" w:hAnsi="Times New Roman" w:eastAsia="PMingLiU"/>
          <w:color w:val="auto"/>
          <w:spacing w:val="0"/>
          <w:sz w:val="44"/>
        </w:rPr>
        <w:t>20</w:t>
      </w:r>
      <w:r>
        <w:rPr>
          <w:rFonts w:hint="default" w:ascii="Times New Roman" w:hAnsi="Times New Roman" w:eastAsia="方正小标宋简体"/>
          <w:color w:val="auto"/>
          <w:spacing w:val="0"/>
          <w:sz w:val="44"/>
        </w:rPr>
        <w:t>年引进优秀毕业生</w:t>
      </w:r>
    </w:p>
    <w:p>
      <w:pPr>
        <w:pStyle w:val="2"/>
        <w:spacing w:before="0" w:line="540" w:lineRule="exact"/>
        <w:ind w:right="40"/>
        <w:jc w:val="center"/>
        <w:rPr>
          <w:rFonts w:hint="default" w:ascii="Times New Roman" w:hAnsi="Times New Roman" w:eastAsia="方正小标宋简体"/>
          <w:color w:val="auto"/>
          <w:spacing w:val="0"/>
          <w:sz w:val="44"/>
        </w:rPr>
      </w:pPr>
      <w:r>
        <w:rPr>
          <w:rFonts w:hint="default" w:ascii="Times New Roman" w:hAnsi="Times New Roman" w:eastAsia="方正小标宋简体"/>
          <w:color w:val="auto"/>
          <w:spacing w:val="0"/>
          <w:sz w:val="44"/>
        </w:rPr>
        <w:t>高校（科研院所）名单</w:t>
      </w:r>
    </w:p>
    <w:p>
      <w:pPr>
        <w:pStyle w:val="2"/>
        <w:spacing w:before="0" w:line="540" w:lineRule="exact"/>
        <w:ind w:right="40"/>
        <w:jc w:val="both"/>
        <w:rPr>
          <w:rFonts w:hint="default" w:ascii="Times New Roman" w:hAnsi="Times New Roman" w:eastAsia="黑体"/>
          <w:color w:val="auto"/>
          <w:spacing w:val="0"/>
          <w:sz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1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全日制本科生所属“双一流”建设高校（科研院所）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  <w:lang w:eastAsia="zh-CN"/>
        </w:rPr>
        <w:t>（一）一流大学建设高校（共</w:t>
      </w:r>
      <w:r>
        <w:rPr>
          <w:rFonts w:ascii="Times New Roman" w:hAnsi="Times New Roman" w:eastAsia="楷体_GB2312" w:cs="楷体_GB2312"/>
          <w:sz w:val="32"/>
          <w:szCs w:val="32"/>
          <w:lang w:val="en-US" w:eastAsia="zh-CN"/>
        </w:rPr>
        <w:t>42所</w:t>
      </w:r>
      <w:r>
        <w:rPr>
          <w:rFonts w:ascii="Times New Roman" w:hAnsi="Times New Roman" w:eastAsia="楷体_GB2312" w:cs="楷体_GB2312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北京大学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中国人民大学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清华大学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北京航空航天大学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中国农业大学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中央民族大学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天津大学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大连理工大学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吉林大学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哈尔滨工业大学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复旦大学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同济大学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上海交通大学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华东师范大学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东南大学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浙江大学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中国科学技术大学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厦门大学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山东大学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兰州大学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中国海洋大学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武汉大学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华中科技大学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中山大学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国防科技大学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华南理工大学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四川大学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重庆大学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电子科技大学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西安交通大学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西北工业大学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东北大学</w:t>
      </w:r>
      <w:r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郑州大学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湖南大学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云南大学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ab/>
      </w:r>
      <w:r>
        <w:rPr>
          <w:rFonts w:ascii="Times New Roman" w:hAnsi="Times New Roman" w:eastAsia="仿宋_GB2312" w:cs="仿宋_GB2312"/>
          <w:sz w:val="32"/>
          <w:szCs w:val="32"/>
        </w:rPr>
        <w:t>西北农林科技大学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新疆大学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  <w:lang w:eastAsia="zh-CN"/>
        </w:rPr>
        <w:t>（二）“双一流”建设学科所在院校（共</w:t>
      </w:r>
      <w:r>
        <w:rPr>
          <w:rFonts w:ascii="Times New Roman" w:hAnsi="Times New Roman" w:eastAsia="楷体_GB2312" w:cs="楷体_GB2312"/>
          <w:sz w:val="32"/>
          <w:szCs w:val="32"/>
          <w:lang w:val="en-US" w:eastAsia="zh-CN"/>
        </w:rPr>
        <w:t>95所</w:t>
      </w:r>
      <w:r>
        <w:rPr>
          <w:rFonts w:ascii="Times New Roman" w:hAnsi="Times New Roman" w:eastAsia="楷体_GB2312" w:cs="楷体_GB2312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北京交通大学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北京化工大学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北京邮电大学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北京林业大学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北京协和医学院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首都师范大学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北京外国语大学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中国传媒大学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中央财经大学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对外经济贸易大学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外交学院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中国人民公安大学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北京体育大学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中央音乐学院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中国音乐学院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中央美术学院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中央戏剧学院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中国政法大学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天津工业大学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天津医科大学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天津中医药大学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华北电力大学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河北工业大学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太原理工大学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内蒙古大学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辽宁大学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大连海事大学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延边大学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东北师范大学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哈尔滨工程大学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东北农业大学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东北林业大学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华东理工大学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东华大学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上海海洋大学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上海外国语大学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上海财经大学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上海体育学院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上海音乐学院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上海大学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苏州大学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南京航空航天大学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中国矿业大学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南京邮电大学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河海大学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江南大学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南京林业大学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南京信息工程大学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南京农业大学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中国药科大学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南京师范大学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中国美术学院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安徽大学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合肥工业大学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福州大学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南昌大学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河南大学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中国地质大学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武汉理工大学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华中农业大学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华中师范大学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中南财经政法大学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湖南师范大学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暨南大学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广州中医药大学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华南师范大学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海南大学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、广西大学、</w:t>
      </w:r>
      <w:r>
        <w:rPr>
          <w:rFonts w:ascii="Times New Roman" w:hAnsi="Times New Roman" w:eastAsia="仿宋_GB2312" w:cs="仿宋_GB2312"/>
          <w:sz w:val="32"/>
          <w:szCs w:val="32"/>
        </w:rPr>
        <w:t>西南交通大学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西南石油大学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成都理工大学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四川农业大学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成都中医药大学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西南财经大学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贵州大学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西北大学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西安电子科技大学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长安大学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陕西师范大学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青海大学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宁夏大学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石河子大学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中国石油大学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宁波大学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中国科学院大学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第二军医大学</w:t>
      </w:r>
      <w:r>
        <w:rPr>
          <w:rFonts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第四军医大学</w:t>
      </w:r>
    </w:p>
    <w:p>
      <w:pPr>
        <w:adjustRightInd w:val="0"/>
        <w:spacing w:line="540" w:lineRule="exact"/>
        <w:ind w:firstLine="640" w:firstLineChars="200"/>
        <w:rPr>
          <w:rFonts w:hint="default" w:ascii="Times New Roman" w:hAnsi="Times New Roman" w:eastAsia="黑体"/>
          <w:color w:val="auto"/>
          <w:sz w:val="32"/>
          <w:szCs w:val="32"/>
        </w:rPr>
      </w:pP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国（境）外知名院校范围</w:t>
      </w: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参照2018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-2020</w:t>
      </w: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黑体"/>
          <w:color w:val="auto"/>
          <w:sz w:val="32"/>
          <w:szCs w:val="32"/>
          <w:lang w:eastAsia="zh-CN"/>
        </w:rPr>
        <w:t>全球</w:t>
      </w: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TOP200高校</w:t>
      </w:r>
    </w:p>
    <w:p>
      <w:pPr>
        <w:pStyle w:val="2"/>
        <w:spacing w:before="0" w:line="540" w:lineRule="exact"/>
        <w:ind w:right="40" w:firstLine="680" w:firstLineChars="200"/>
        <w:jc w:val="both"/>
        <w:rPr>
          <w:rFonts w:hint="default" w:ascii="Times New Roman" w:hAnsi="Times New Roman" w:eastAsia="PMingLiU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二、全日制博士、硕士研究生，海内外院校不限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FD47"/>
    <w:multiLevelType w:val="singleLevel"/>
    <w:tmpl w:val="4854F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02E1"/>
    <w:rsid w:val="7F9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Times New Roman"/>
      <w:color w:val="000000"/>
      <w:sz w:val="24"/>
      <w:szCs w:val="22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before="480" w:beforeLines="0" w:afterLines="0" w:line="547" w:lineRule="exact"/>
      <w:jc w:val="distribute"/>
    </w:pPr>
    <w:rPr>
      <w:rFonts w:hint="eastAsia" w:ascii="MingLiU" w:hAnsi="MingLiU" w:eastAsia="MingLiU"/>
      <w:spacing w:val="1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2020-02-20T08:41:00Z</dcterms:created>
  <dc:creator>啾啾啾啾啾啾啾啾啾啾啾啾啾啾</dc:creator>
  <cp:lastModifiedBy>啾啾啾啾啾啾啾啾啾啾啾啾啾啾</cp:lastModifiedBy>
  <dcterms:modified xsi:type="dcterms:W3CDTF">2020-02-20T08:41:37Z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