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附件3：</w:t>
      </w:r>
    </w:p>
    <w:p>
      <w:pPr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44"/>
          <w:szCs w:val="44"/>
          <w:highlight w:val="none"/>
          <w:lang w:eastAsia="zh-CN"/>
        </w:rPr>
        <w:t>商都公司薪酬有关规定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44"/>
          <w:szCs w:val="44"/>
          <w:highlight w:val="none"/>
          <w:lang w:eastAsia="zh-CN"/>
        </w:rPr>
        <w:t>（暂行）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商都公司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企业负责人薪酬实行年薪制，董事长、总经理</w:t>
      </w:r>
    </w:p>
    <w:p>
      <w:pPr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年薪为30万元，副总经理年薪为24万元。</w:t>
      </w:r>
    </w:p>
    <w:p>
      <w:pPr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年薪由基本年薪和绩效年薪构成。其中基本年薪占年薪的60%，按月支付，工龄工资每满一年增加100元。绩效年薪占年薪的40%，根据工作业绩和考核得分计算。</w:t>
      </w:r>
    </w:p>
    <w:p>
      <w:pPr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3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吴震</cp:lastModifiedBy>
  <dcterms:modified xsi:type="dcterms:W3CDTF">2020-10-28T08:39:18Z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