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5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43"/>
        <w:gridCol w:w="1353"/>
        <w:gridCol w:w="802"/>
        <w:gridCol w:w="2056"/>
        <w:gridCol w:w="2056"/>
        <w:gridCol w:w="1366"/>
        <w:gridCol w:w="1366"/>
        <w:gridCol w:w="14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2497"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17"/>
                <w:szCs w:val="17"/>
              </w:rPr>
            </w:pPr>
            <w:bookmarkStart w:id="0" w:name="_GoBack"/>
            <w:r>
              <w:rPr>
                <w:rFonts w:hint="eastAsia" w:ascii="微软雅黑" w:hAnsi="微软雅黑" w:eastAsia="微软雅黑" w:cs="微软雅黑"/>
                <w:i w:val="0"/>
                <w:caps w:val="0"/>
                <w:color w:val="000000"/>
                <w:spacing w:val="0"/>
                <w:kern w:val="0"/>
                <w:sz w:val="17"/>
                <w:szCs w:val="17"/>
                <w:bdr w:val="none" w:color="auto" w:sz="0" w:space="0"/>
                <w:lang w:val="en-US" w:eastAsia="zh-CN" w:bidi="ar"/>
              </w:rPr>
              <w:t>青岛西海岸新区海洋控股集团有限公司招聘计划</w:t>
            </w:r>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80" w:hRule="atLeast"/>
        </w:trPr>
        <w:tc>
          <w:tcPr>
            <w:tcW w:w="12497"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aps w:val="0"/>
                <w:color w:val="000000"/>
                <w:spacing w:val="0"/>
                <w:sz w:val="24"/>
                <w:szCs w:val="24"/>
                <w:u w:val="none"/>
                <w:bdr w:val="none" w:color="auto" w:sz="0" w:space="0"/>
              </w:rPr>
              <w:t>根据青岛市国有企业公开招聘相关规定及青岛西海岸新区海洋控股集团有限公司招聘计划公告有关要求，经过笔试、面试、体检等程序，确定录用刘婷婷等4人，现予以公示。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公示时间</w:t>
            </w:r>
          </w:p>
        </w:tc>
        <w:tc>
          <w:tcPr>
            <w:tcW w:w="33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2019.11.20—2019.11.26</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监督电话</w:t>
            </w:r>
          </w:p>
        </w:tc>
        <w:tc>
          <w:tcPr>
            <w:tcW w:w="26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0532-82198762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trPr>
        <w:tc>
          <w:tcPr>
            <w:tcW w:w="12497"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b/>
                <w:i w:val="0"/>
                <w:caps w:val="0"/>
                <w:color w:val="000000"/>
                <w:spacing w:val="0"/>
                <w:kern w:val="0"/>
                <w:sz w:val="17"/>
                <w:szCs w:val="17"/>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录用岗位名称</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姓名</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性别</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毕业院校</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专业</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学历</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综合分数</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党建与综合部高级专员（招标采购）</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刘婷婷</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女</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北方工业大学</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工程管理</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大学本科</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82.3</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党建与综合部主管（文字材料）</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杜春晖</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男</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北京印刷学院</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新闻传播学</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硕士研究生</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85</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法务部（风控财审部）高级专员（法务）</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崔云青</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女</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山东大学</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法学</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大学本科</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86.4</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法务部（风控财审部）高级专员（风控）</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杜新霞</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女</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山东财经大学</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会计学</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硕士研究生</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78.9</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51420"/>
    <w:rsid w:val="1DF51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2019-11-20T10:49:00Z</dcterms:created>
  <dc:creator>ASUS</dc:creator>
  <cp:lastModifiedBy>ASUS</cp:lastModifiedBy>
  <dcterms:modified xsi:type="dcterms:W3CDTF">2019-11-20T10:49:13Z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