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376" w:beforeAutospacing="0" w:after="376" w:afterAutospacing="0"/>
        <w:ind w:left="0" w:right="0"/>
      </w:pPr>
      <w:r>
        <w:rPr>
          <w:rFonts w:ascii="微软雅黑" w:hAnsi="微软雅黑" w:eastAsia="微软雅黑" w:cs="微软雅黑"/>
          <w:b w:val="0"/>
        </w:rPr>
        <w:t>2019年度菏建国投公司人员招聘进入试用期人员公示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ascii="仿宋_GB2312" w:hAnsi="微软雅黑" w:eastAsia="仿宋_GB2312" w:cs="仿宋_GB2312"/>
          <w:b/>
          <w:color w:val="333333"/>
          <w:sz w:val="26"/>
          <w:szCs w:val="26"/>
        </w:rPr>
        <w:t>土木工程、工程管理类：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贾丽娜、王鲁英、崔福海、韩禄禄、邵宁、于大昌、安良学、周元成、张茹、刘超、殷颖颖、乔爽、石玉凤、赵博、王永力、韩俊玲、宋雪琴、吴从杰、张洲鹤、张奇志、郭新宇、崔鲁东、张旭、马星闯、郭昔宁、贾海东、王炜淇、孙磊、杨明驰、谢德鑫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计算机类：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许登峰、雷希。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财务管理、会计类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：刘雷锋、毕换平、宋波、张书溪、聂富、王雪平、李响、王妍妍、杜宁、段昕蕾、万影、申杰、刘文升。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风景园林类：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李昱翰。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环境室内设计类：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盛涛建、赵晓曼、张祥、华琪琪。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市场营销类：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李爱兰、郭瑞、黄壬盈、鹿莹莹、孟利、乔嘉、崔璐、张西龙、高强、李长振。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材料管理类：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王常领、王士松。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播音与主持艺术类：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常夏。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法学类：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冯冠杰、翟嘉瑜。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建筑学类：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赵雪、车晓路。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人力资源管理类：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安学卫。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视觉与传达类：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桑冉。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汉语言文学、新闻学类：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樊宪友、韩红霞、刘茵、任正宇、张磊、李亚伟、钱成渠、焦仓、牛腾、何彦达。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房地产开发与管理类：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姜文凤、石力菡。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化学工程与工艺类：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李萌。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电气工程及其自动化类：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闫彦理、何志凯、后开宇、王琪智、李文博。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376" w:afterAutospacing="0" w:line="420" w:lineRule="atLeast"/>
        <w:ind w:left="0" w:right="0" w:firstLine="538"/>
        <w:rPr>
          <w:color w:val="333333"/>
          <w:sz w:val="17"/>
          <w:szCs w:val="17"/>
        </w:rPr>
      </w:pPr>
      <w:r>
        <w:rPr>
          <w:rStyle w:val="5"/>
          <w:rFonts w:hint="default" w:ascii="仿宋_GB2312" w:hAnsi="微软雅黑" w:eastAsia="仿宋_GB2312" w:cs="仿宋_GB2312"/>
          <w:b/>
          <w:color w:val="333333"/>
          <w:sz w:val="26"/>
          <w:szCs w:val="26"/>
        </w:rPr>
        <w:t>工程造价类：</w:t>
      </w:r>
      <w:r>
        <w:rPr>
          <w:rFonts w:hint="default" w:ascii="仿宋_GB2312" w:hAnsi="微软雅黑" w:eastAsia="仿宋_GB2312" w:cs="仿宋_GB2312"/>
          <w:b w:val="0"/>
          <w:color w:val="333333"/>
          <w:sz w:val="26"/>
          <w:szCs w:val="26"/>
        </w:rPr>
        <w:t>肖宁。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40B8E"/>
    <w:rsid w:val="0A14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customStyle="1" w:styleId="8">
    <w:name w:val="con-title"/>
    <w:basedOn w:val="1"/>
    <w:uiPriority w:val="0"/>
    <w:pPr>
      <w:pBdr>
        <w:bottom w:val="single" w:color="717171" w:sz="12" w:space="0"/>
      </w:pBdr>
      <w:spacing w:line="626" w:lineRule="atLeast"/>
      <w:jc w:val="center"/>
    </w:pPr>
    <w:rPr>
      <w:color w:val="000000"/>
      <w:kern w:val="0"/>
      <w:sz w:val="31"/>
      <w:szCs w:val="3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2019-11-06T01:45:00Z</dcterms:created>
  <dc:creator>ASUS</dc:creator>
  <cp:lastModifiedBy>ASUS</cp:lastModifiedBy>
  <dcterms:modified xsi:type="dcterms:W3CDTF">2019-11-06T01:45:22Z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