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50" w:beforeAutospacing="0" w:after="0" w:afterAutospacing="0" w:line="501" w:lineRule="atLeast"/>
        <w:ind w:left="0" w:right="0"/>
        <w:jc w:val="center"/>
        <w:rPr>
          <w:rFonts w:ascii="寰蒋闆呴粦" w:hAnsi="寰蒋闆呴粦" w:eastAsia="寰蒋闆呴粦" w:cs="寰蒋闆呴粦"/>
          <w:b/>
          <w:color w:val="D80000"/>
          <w:sz w:val="32"/>
          <w:szCs w:val="32"/>
        </w:rPr>
      </w:pPr>
      <w:r>
        <w:rPr>
          <w:rFonts w:hint="default" w:ascii="寰蒋闆呴粦" w:hAnsi="寰蒋闆呴粦" w:eastAsia="寰蒋闆呴粦" w:cs="寰蒋闆呴粦"/>
          <w:b/>
          <w:i w:val="0"/>
          <w:caps w:val="0"/>
          <w:color w:val="D80000"/>
          <w:spacing w:val="0"/>
          <w:sz w:val="32"/>
          <w:szCs w:val="32"/>
          <w:bdr w:val="none" w:color="auto" w:sz="0" w:space="0"/>
        </w:rPr>
        <w:t>双星集团2017年9月份</w:t>
      </w:r>
      <w:bookmarkStart w:id="0" w:name="_GoBack"/>
      <w:r>
        <w:rPr>
          <w:rFonts w:hint="default" w:ascii="寰蒋闆呴粦" w:hAnsi="寰蒋闆呴粦" w:eastAsia="寰蒋闆呴粦" w:cs="寰蒋闆呴粦"/>
          <w:b/>
          <w:i w:val="0"/>
          <w:caps w:val="0"/>
          <w:color w:val="D80000"/>
          <w:spacing w:val="0"/>
          <w:sz w:val="32"/>
          <w:szCs w:val="32"/>
          <w:bdr w:val="none" w:color="auto" w:sz="0" w:space="0"/>
        </w:rPr>
        <w:t>招聘简章</w:t>
      </w:r>
    </w:p>
    <w:bookmarkEnd w:id="0"/>
    <w:tbl>
      <w:tblPr>
        <w:tblW w:w="9494"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303"/>
        <w:gridCol w:w="552"/>
        <w:gridCol w:w="862"/>
        <w:gridCol w:w="862"/>
        <w:gridCol w:w="652"/>
        <w:gridCol w:w="972"/>
        <w:gridCol w:w="1304"/>
        <w:gridCol w:w="2901"/>
        <w:gridCol w:w="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31" w:hRule="atLeast"/>
          <w:tblHeader/>
          <w:tblCellSpacing w:w="0" w:type="dxa"/>
        </w:trPr>
        <w:tc>
          <w:tcPr>
            <w:tcW w:w="1303" w:type="dxa"/>
            <w:tcBorders>
              <w:left w:val="single" w:color="C5C5C5" w:sz="2"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招聘岗位</w:t>
            </w:r>
            <w:r>
              <w:rPr>
                <w:rFonts w:ascii="宋体" w:hAnsi="宋体" w:eastAsia="宋体" w:cs="宋体"/>
                <w:b w:val="0"/>
                <w:kern w:val="0"/>
                <w:sz w:val="24"/>
                <w:szCs w:val="24"/>
                <w:shd w:val="clear" w:fill="F4F4F4"/>
                <w:lang w:val="en-US" w:eastAsia="zh-CN" w:bidi="ar"/>
              </w:rPr>
              <w:t> </w:t>
            </w:r>
          </w:p>
        </w:tc>
        <w:tc>
          <w:tcPr>
            <w:tcW w:w="552"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人数</w:t>
            </w:r>
            <w:r>
              <w:rPr>
                <w:rFonts w:ascii="宋体" w:hAnsi="宋体" w:eastAsia="宋体" w:cs="宋体"/>
                <w:b w:val="0"/>
                <w:kern w:val="0"/>
                <w:sz w:val="24"/>
                <w:szCs w:val="24"/>
                <w:shd w:val="clear" w:fill="F4F4F4"/>
                <w:lang w:val="en-US" w:eastAsia="zh-CN" w:bidi="ar"/>
              </w:rPr>
              <w:t> </w:t>
            </w:r>
          </w:p>
        </w:tc>
        <w:tc>
          <w:tcPr>
            <w:tcW w:w="862"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专业要求</w:t>
            </w:r>
            <w:r>
              <w:rPr>
                <w:rFonts w:ascii="宋体" w:hAnsi="宋体" w:eastAsia="宋体" w:cs="宋体"/>
                <w:b w:val="0"/>
                <w:kern w:val="0"/>
                <w:sz w:val="24"/>
                <w:szCs w:val="24"/>
                <w:shd w:val="clear" w:fill="F4F4F4"/>
                <w:lang w:val="en-US" w:eastAsia="zh-CN" w:bidi="ar"/>
              </w:rPr>
              <w:t> </w:t>
            </w:r>
          </w:p>
        </w:tc>
        <w:tc>
          <w:tcPr>
            <w:tcW w:w="862"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最低学历</w:t>
            </w:r>
            <w:r>
              <w:rPr>
                <w:rFonts w:ascii="宋体" w:hAnsi="宋体" w:eastAsia="宋体" w:cs="宋体"/>
                <w:b w:val="0"/>
                <w:kern w:val="0"/>
                <w:sz w:val="24"/>
                <w:szCs w:val="24"/>
                <w:shd w:val="clear" w:fill="F4F4F4"/>
                <w:lang w:val="en-US" w:eastAsia="zh-CN" w:bidi="ar"/>
              </w:rPr>
              <w:t> </w:t>
            </w:r>
          </w:p>
        </w:tc>
        <w:tc>
          <w:tcPr>
            <w:tcW w:w="652"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性别</w:t>
            </w:r>
            <w:r>
              <w:rPr>
                <w:rFonts w:ascii="宋体" w:hAnsi="宋体" w:eastAsia="宋体" w:cs="宋体"/>
                <w:b w:val="0"/>
                <w:kern w:val="0"/>
                <w:sz w:val="24"/>
                <w:szCs w:val="24"/>
                <w:shd w:val="clear" w:fill="F4F4F4"/>
                <w:lang w:val="en-US" w:eastAsia="zh-CN" w:bidi="ar"/>
              </w:rPr>
              <w:t> </w:t>
            </w:r>
          </w:p>
        </w:tc>
        <w:tc>
          <w:tcPr>
            <w:tcW w:w="972"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工作经验</w:t>
            </w:r>
            <w:r>
              <w:rPr>
                <w:rFonts w:ascii="宋体" w:hAnsi="宋体" w:eastAsia="宋体" w:cs="宋体"/>
                <w:b w:val="0"/>
                <w:kern w:val="0"/>
                <w:sz w:val="24"/>
                <w:szCs w:val="24"/>
                <w:shd w:val="clear" w:fill="F4F4F4"/>
                <w:lang w:val="en-US" w:eastAsia="zh-CN" w:bidi="ar"/>
              </w:rPr>
              <w:t> </w:t>
            </w:r>
          </w:p>
        </w:tc>
        <w:tc>
          <w:tcPr>
            <w:tcW w:w="1304"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最低月薪</w:t>
            </w:r>
            <w:r>
              <w:rPr>
                <w:rFonts w:ascii="宋体" w:hAnsi="宋体" w:eastAsia="宋体" w:cs="宋体"/>
                <w:b w:val="0"/>
                <w:kern w:val="0"/>
                <w:sz w:val="24"/>
                <w:szCs w:val="24"/>
                <w:shd w:val="clear" w:fill="F4F4F4"/>
                <w:lang w:val="en-US" w:eastAsia="zh-CN" w:bidi="ar"/>
              </w:rPr>
              <w:t> </w:t>
            </w:r>
          </w:p>
        </w:tc>
        <w:tc>
          <w:tcPr>
            <w:tcW w:w="2901" w:type="dxa"/>
            <w:tcBorders>
              <w:left w:val="single" w:color="C5C5C5" w:sz="4" w:space="0"/>
              <w:bottom w:val="single" w:color="C5C5C5" w:sz="4" w:space="0"/>
            </w:tcBorders>
            <w:shd w:val="clear"/>
            <w:vAlign w:val="center"/>
          </w:tcPr>
          <w:p>
            <w:pPr>
              <w:keepNext w:val="0"/>
              <w:keepLines w:val="0"/>
              <w:widowControl/>
              <w:suppressLineNumbers w:val="0"/>
              <w:pBdr>
                <w:top w:val="none" w:color="auto" w:sz="0" w:space="0"/>
                <w:bottom w:val="none" w:color="auto" w:sz="0" w:space="0"/>
              </w:pBdr>
              <w:shd w:val="clear" w:fill="F4F4F4"/>
              <w:jc w:val="center"/>
              <w:textAlignment w:val="center"/>
              <w:rPr>
                <w:b w:val="0"/>
              </w:rPr>
            </w:pPr>
            <w:r>
              <w:rPr>
                <w:rFonts w:ascii="宋体" w:hAnsi="宋体" w:eastAsia="宋体" w:cs="宋体"/>
                <w:b w:val="0"/>
                <w:kern w:val="0"/>
                <w:sz w:val="15"/>
                <w:szCs w:val="15"/>
                <w:bdr w:val="none" w:color="auto" w:sz="0" w:space="0"/>
                <w:shd w:val="clear" w:fill="F4F4F4"/>
                <w:lang w:val="en-US" w:eastAsia="zh-CN" w:bidi="ar"/>
              </w:rPr>
              <w:t>岗位描述/条件/待遇</w:t>
            </w:r>
            <w:r>
              <w:rPr>
                <w:rFonts w:ascii="宋体" w:hAnsi="宋体" w:eastAsia="宋体" w:cs="宋体"/>
                <w:b w:val="0"/>
                <w:kern w:val="0"/>
                <w:sz w:val="24"/>
                <w:szCs w:val="24"/>
                <w:shd w:val="clear" w:fill="F4F4F4"/>
                <w:lang w:val="en-US" w:eastAsia="zh-CN" w:bidi="ar"/>
              </w:rPr>
              <w:t> </w:t>
            </w:r>
          </w:p>
        </w:tc>
        <w:tc>
          <w:tcPr>
            <w:tcW w:w="86" w:type="dxa"/>
            <w:tcBorders>
              <w:left w:val="nil"/>
              <w:bottom w:val="single" w:color="C5C5C5" w:sz="4" w:space="0"/>
            </w:tcBorders>
            <w:shd w:val="clear"/>
            <w:vAlign w:val="center"/>
          </w:tcPr>
          <w:p>
            <w:pPr>
              <w:jc w:val="left"/>
              <w:rPr>
                <w:rFonts w:hint="eastAsia" w:ascii="宋体"/>
                <w:b/>
                <w:sz w:val="24"/>
                <w:szCs w:val="24"/>
              </w:rPr>
            </w:pPr>
          </w:p>
        </w:tc>
      </w:tr>
    </w:tbl>
    <w:p>
      <w:pPr>
        <w:rPr>
          <w:vanish/>
          <w:sz w:val="24"/>
          <w:szCs w:val="24"/>
        </w:rPr>
      </w:pPr>
    </w:p>
    <w:tbl>
      <w:tblPr>
        <w:tblW w:w="9534" w:type="dxa"/>
        <w:tblCellSpacing w:w="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1310"/>
        <w:gridCol w:w="544"/>
        <w:gridCol w:w="865"/>
        <w:gridCol w:w="866"/>
        <w:gridCol w:w="655"/>
        <w:gridCol w:w="976"/>
        <w:gridCol w:w="1310"/>
        <w:gridCol w:w="2918"/>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10" w:hRule="atLeast"/>
          <w:tblCellSpacing w:w="0" w:type="dxa"/>
        </w:trPr>
        <w:tc>
          <w:tcPr>
            <w:tcW w:w="1310" w:type="dxa"/>
            <w:tcBorders>
              <w:left w:val="single" w:color="C5C5C5" w:sz="2" w:space="0"/>
            </w:tcBorders>
            <w:shd w:val="clear"/>
            <w:vAlign w:val="center"/>
          </w:tcPr>
          <w:p>
            <w:pPr>
              <w:jc w:val="center"/>
              <w:rPr>
                <w:rFonts w:hint="eastAsia" w:ascii="宋体"/>
                <w:color w:val="000000"/>
                <w:sz w:val="24"/>
                <w:szCs w:val="24"/>
              </w:rPr>
            </w:pPr>
          </w:p>
        </w:tc>
        <w:tc>
          <w:tcPr>
            <w:tcW w:w="544" w:type="dxa"/>
            <w:tcBorders>
              <w:left w:val="single" w:color="C5C5C5" w:sz="4" w:space="0"/>
            </w:tcBorders>
            <w:shd w:val="clear"/>
            <w:vAlign w:val="center"/>
          </w:tcPr>
          <w:p>
            <w:pPr>
              <w:jc w:val="center"/>
              <w:rPr>
                <w:rFonts w:hint="eastAsia" w:ascii="宋体"/>
                <w:color w:val="000000"/>
                <w:sz w:val="24"/>
                <w:szCs w:val="24"/>
              </w:rPr>
            </w:pPr>
          </w:p>
        </w:tc>
        <w:tc>
          <w:tcPr>
            <w:tcW w:w="865" w:type="dxa"/>
            <w:tcBorders>
              <w:left w:val="single" w:color="C5C5C5" w:sz="4" w:space="0"/>
            </w:tcBorders>
            <w:shd w:val="clear"/>
            <w:vAlign w:val="center"/>
          </w:tcPr>
          <w:p>
            <w:pPr>
              <w:jc w:val="center"/>
              <w:rPr>
                <w:rFonts w:hint="eastAsia" w:ascii="宋体"/>
                <w:color w:val="000000"/>
                <w:sz w:val="24"/>
                <w:szCs w:val="24"/>
              </w:rPr>
            </w:pPr>
          </w:p>
        </w:tc>
        <w:tc>
          <w:tcPr>
            <w:tcW w:w="866" w:type="dxa"/>
            <w:tcBorders>
              <w:left w:val="single" w:color="C5C5C5" w:sz="4" w:space="0"/>
            </w:tcBorders>
            <w:shd w:val="clear"/>
            <w:vAlign w:val="center"/>
          </w:tcPr>
          <w:p>
            <w:pPr>
              <w:jc w:val="center"/>
              <w:rPr>
                <w:rFonts w:hint="eastAsia" w:ascii="宋体"/>
                <w:color w:val="000000"/>
                <w:sz w:val="24"/>
                <w:szCs w:val="24"/>
              </w:rPr>
            </w:pPr>
          </w:p>
        </w:tc>
        <w:tc>
          <w:tcPr>
            <w:tcW w:w="655" w:type="dxa"/>
            <w:tcBorders>
              <w:left w:val="single" w:color="C5C5C5" w:sz="4" w:space="0"/>
            </w:tcBorders>
            <w:shd w:val="clear"/>
            <w:vAlign w:val="center"/>
          </w:tcPr>
          <w:p>
            <w:pPr>
              <w:jc w:val="center"/>
              <w:rPr>
                <w:rFonts w:hint="eastAsia" w:ascii="宋体"/>
                <w:color w:val="000000"/>
                <w:sz w:val="24"/>
                <w:szCs w:val="24"/>
              </w:rPr>
            </w:pPr>
          </w:p>
        </w:tc>
        <w:tc>
          <w:tcPr>
            <w:tcW w:w="976" w:type="dxa"/>
            <w:tcBorders>
              <w:left w:val="single" w:color="C5C5C5" w:sz="4" w:space="0"/>
            </w:tcBorders>
            <w:shd w:val="clear"/>
            <w:vAlign w:val="center"/>
          </w:tcPr>
          <w:p>
            <w:pPr>
              <w:jc w:val="center"/>
              <w:rPr>
                <w:rFonts w:hint="eastAsia" w:ascii="宋体"/>
                <w:color w:val="000000"/>
                <w:sz w:val="24"/>
                <w:szCs w:val="24"/>
              </w:rPr>
            </w:pPr>
          </w:p>
        </w:tc>
        <w:tc>
          <w:tcPr>
            <w:tcW w:w="1310" w:type="dxa"/>
            <w:tcBorders>
              <w:left w:val="single" w:color="C5C5C5" w:sz="4" w:space="0"/>
            </w:tcBorders>
            <w:shd w:val="clear"/>
            <w:vAlign w:val="center"/>
          </w:tcPr>
          <w:p>
            <w:pPr>
              <w:jc w:val="center"/>
              <w:rPr>
                <w:rFonts w:hint="eastAsia" w:ascii="宋体"/>
                <w:color w:val="000000"/>
                <w:sz w:val="24"/>
                <w:szCs w:val="24"/>
              </w:rPr>
            </w:pPr>
          </w:p>
        </w:tc>
        <w:tc>
          <w:tcPr>
            <w:tcW w:w="2918" w:type="dxa"/>
            <w:tcBorders>
              <w:left w:val="single" w:color="C5C5C5" w:sz="4" w:space="0"/>
            </w:tcBorders>
            <w:shd w:val="clear"/>
            <w:vAlign w:val="center"/>
          </w:tcPr>
          <w:p>
            <w:pPr>
              <w:jc w:val="center"/>
              <w:rPr>
                <w:rFonts w:hint="eastAsia" w:ascii="宋体"/>
                <w:color w:val="000000"/>
                <w:sz w:val="24"/>
                <w:szCs w:val="24"/>
              </w:rPr>
            </w:pPr>
          </w:p>
        </w:tc>
        <w:tc>
          <w:tcPr>
            <w:tcW w:w="90" w:type="dxa"/>
            <w:tcBorders>
              <w:top w:val="nil"/>
              <w:left w:val="nil"/>
              <w:bottom w:val="nil"/>
              <w:right w:val="nil"/>
            </w:tcBorders>
            <w:shd w:val="clear"/>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36" w:hRule="atLeast"/>
          <w:tblCellSpacing w:w="0" w:type="dxa"/>
        </w:trPr>
        <w:tc>
          <w:tcPr>
            <w:tcW w:w="1310" w:type="dxa"/>
            <w:tcBorders>
              <w:top w:val="single" w:color="EDEDED" w:sz="4" w:space="0"/>
              <w:left w:val="single" w:color="C5C5C5" w:sz="2"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云网本部 北京办事处处长</w:t>
            </w:r>
          </w:p>
        </w:tc>
        <w:tc>
          <w:tcPr>
            <w:tcW w:w="544"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86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企业管理、工商管理类相关专业</w:t>
            </w:r>
          </w:p>
        </w:tc>
        <w:tc>
          <w:tcPr>
            <w:tcW w:w="86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65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3年</w:t>
            </w:r>
          </w:p>
        </w:tc>
        <w:tc>
          <w:tcPr>
            <w:tcW w:w="1310"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2918"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岗位资质： 1、全日制本科及以上学历，企业管理、工商管理类相关专业； 2、3年及以上相关工作经验； 3、熟练掌握应用word、excel、ppt等软件； 4、有较强的沟通协调能力，推进工作完成，有较强的责任感及团队精神，能够承受一定的工作压力。 岗位职责： 1、负责北京等市场的公关工作； 2、负责市场调查、信息获取、信息反馈； 3、其他具体以岗位说明书为准。</w:t>
            </w:r>
          </w:p>
        </w:tc>
        <w:tc>
          <w:tcPr>
            <w:tcW w:w="90" w:type="dxa"/>
            <w:tcBorders>
              <w:top w:val="single" w:color="EDEDED" w:sz="4" w:space="0"/>
              <w:left w:val="nil"/>
            </w:tcBorders>
            <w:shd w:val="clear" w:color="auto" w:fill="FFFFFF"/>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65" w:hRule="atLeast"/>
          <w:tblCellSpacing w:w="0" w:type="dxa"/>
        </w:trPr>
        <w:tc>
          <w:tcPr>
            <w:tcW w:w="1310" w:type="dxa"/>
            <w:tcBorders>
              <w:top w:val="single" w:color="EDEDED" w:sz="4" w:space="0"/>
              <w:left w:val="single" w:color="C5C5C5" w:sz="2"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海外本部 客户经理</w:t>
            </w:r>
          </w:p>
        </w:tc>
        <w:tc>
          <w:tcPr>
            <w:tcW w:w="544"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865"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文学类、管理学类、经济学类、理学类相关专业</w:t>
            </w:r>
          </w:p>
        </w:tc>
        <w:tc>
          <w:tcPr>
            <w:tcW w:w="866"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655"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6"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3年</w:t>
            </w:r>
          </w:p>
        </w:tc>
        <w:tc>
          <w:tcPr>
            <w:tcW w:w="1310"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2918"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岗位资质： 1、全日制本科及以上学历，文学类、管理学类、经济学类、理学类相关专业； 2、3年及以上相关工作经验； 3、具备一定的市场营销管理知识； 4、熟练掌握市场企划和市场推广相关工作流程； 5、良好的营销策划能力、沟通协调能力、人力关系处理能力。 岗位职责： 1、负责轮胎的海外销售和客户咨询服务； 2、负责开拓产品的销售市场，达成各项销售指标； 3、负责挖掘客户需求，实现产品销售； 4、负责跟进售前业务及售后客户维系； 5、其他具体以岗位说明书为准。</w:t>
            </w:r>
          </w:p>
        </w:tc>
        <w:tc>
          <w:tcPr>
            <w:tcW w:w="90" w:type="dxa"/>
            <w:tcBorders>
              <w:top w:val="single" w:color="EDEDED" w:sz="4" w:space="0"/>
              <w:left w:val="nil"/>
            </w:tcBorders>
            <w:shd w:val="clear" w:color="auto" w:fill="FAFAFA"/>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488" w:hRule="atLeast"/>
          <w:tblCellSpacing w:w="0" w:type="dxa"/>
        </w:trPr>
        <w:tc>
          <w:tcPr>
            <w:tcW w:w="1310" w:type="dxa"/>
            <w:tcBorders>
              <w:top w:val="single" w:color="EDEDED" w:sz="4" w:space="0"/>
              <w:left w:val="single" w:color="C5C5C5" w:sz="2"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地产集团 规划技术部长</w:t>
            </w:r>
          </w:p>
        </w:tc>
        <w:tc>
          <w:tcPr>
            <w:tcW w:w="544"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86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工学类、管理学类、理学类相关专业</w:t>
            </w:r>
          </w:p>
        </w:tc>
        <w:tc>
          <w:tcPr>
            <w:tcW w:w="86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65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5-10年</w:t>
            </w:r>
          </w:p>
        </w:tc>
        <w:tc>
          <w:tcPr>
            <w:tcW w:w="1310"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2918"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岗位资质： 1、全日制本科及以上学历，工学类、管理学类、理学类相关专业； 2、5年及以上建筑设计工作经验； 3、熟悉房地产企业和设计院设计管理工作，有方案设计、施工图设计经验、各专业协调经验，具有规划、建筑设计、规范、施工以及设备等方面的专业知识，熟练使用相关的制图软件； 4、具有较强的统筹和协调能力。 岗位职责： 1、负责规划技术部的全面管理工作； 2、负责项目可行性分析的技术支持，对项目规划方案、单体方案进行评审论证； 3、负责组织项目设计的招、投标，负责设计合同签订、履约管理； 4、负责组织有关部门进行项目的设计及全流程的技术论证； 5、负责组织对各项设计成果的审定，参与并组织设计单位进行图纸会审、技术交底等图纸答疑工作； 6、参与项目建设过程中与设计单位的沟通协调工作，并做好技术支持； 7、参与设计变更的组织、评审及认定工作； 8、全面负责解决设计及施工中出现的重大技术问题，对工程质量、进度、安全、成本进行有力的监控，对工程技术签证及工程造价把关； 9、其他具体以岗位说明书为准。</w:t>
            </w:r>
          </w:p>
        </w:tc>
        <w:tc>
          <w:tcPr>
            <w:tcW w:w="90" w:type="dxa"/>
            <w:tcBorders>
              <w:top w:val="single" w:color="EDEDED" w:sz="4" w:space="0"/>
              <w:left w:val="nil"/>
            </w:tcBorders>
            <w:shd w:val="clear" w:color="auto" w:fill="FFFFFF"/>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204" w:hRule="atLeast"/>
          <w:tblCellSpacing w:w="0" w:type="dxa"/>
        </w:trPr>
        <w:tc>
          <w:tcPr>
            <w:tcW w:w="1310" w:type="dxa"/>
            <w:tcBorders>
              <w:top w:val="single" w:color="EDEDED" w:sz="4" w:space="0"/>
              <w:left w:val="single" w:color="C5C5C5" w:sz="2"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地产集团 技术经理</w:t>
            </w:r>
          </w:p>
        </w:tc>
        <w:tc>
          <w:tcPr>
            <w:tcW w:w="544"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865"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工学类、管理学类、理学类相关专业</w:t>
            </w:r>
          </w:p>
        </w:tc>
        <w:tc>
          <w:tcPr>
            <w:tcW w:w="866"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655"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6"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5-10年</w:t>
            </w:r>
          </w:p>
        </w:tc>
        <w:tc>
          <w:tcPr>
            <w:tcW w:w="1310"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2918"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岗位资质： 1、全日制本科及以上学历，工学类、管理学类、理学类相关专业； 2、5年及以上建筑设计相关工作经验，具有方案设计、施工图设计经验、各专业协调经验； 3、具有建筑设计、规范、施工以及设备等方面的专业知识，熟练使用相关的计算机制图软件； 4、具备良好的沟通协调能力及抗压能力。 岗位职责： 1、负责集团地产项目的前期设计定位、规划设计指导、指标测算、价值挖掘等工作； 2、负责项目初步设计、施工图设计的技术论证、审核，参与工程设计变更的审核； 3、负责与各部门配合，协调解决全项目过程中的专业技术问题； 4、根据年度战略目标组织本部的年度技术工作计划的制定与分解落实工作并负责本部工作目标实现； 5、负责建立和完善设计管理体系，负责核定设计单位和审核产品概念设计，确保设计方案满足项目需要； 6、负责提供规划设计方面相关信息及业内动态，为集团决策提供建议； 7、其他具体以岗位说明书为准。</w:t>
            </w:r>
          </w:p>
        </w:tc>
        <w:tc>
          <w:tcPr>
            <w:tcW w:w="90" w:type="dxa"/>
            <w:tcBorders>
              <w:top w:val="single" w:color="EDEDED" w:sz="4" w:space="0"/>
              <w:left w:val="nil"/>
            </w:tcBorders>
            <w:shd w:val="clear" w:color="auto" w:fill="FAFAFA"/>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514" w:hRule="atLeast"/>
          <w:tblCellSpacing w:w="0" w:type="dxa"/>
        </w:trPr>
        <w:tc>
          <w:tcPr>
            <w:tcW w:w="1310" w:type="dxa"/>
            <w:tcBorders>
              <w:top w:val="single" w:color="EDEDED" w:sz="4" w:space="0"/>
              <w:left w:val="single" w:color="C5C5C5" w:sz="2"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服务中心 业务发展经理</w:t>
            </w:r>
          </w:p>
        </w:tc>
        <w:tc>
          <w:tcPr>
            <w:tcW w:w="544"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86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文学类、管理学类、经济学类、理学类相关专业</w:t>
            </w:r>
          </w:p>
        </w:tc>
        <w:tc>
          <w:tcPr>
            <w:tcW w:w="86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65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3年</w:t>
            </w:r>
          </w:p>
        </w:tc>
        <w:tc>
          <w:tcPr>
            <w:tcW w:w="1310"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2918"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岗位资质： 1、全日制本科及以上学历，文学类、管理学类、经济学类、理学类相关专业； 2、3年及以上轮胎、汽车服务类或市场拓展或大客户销售、维护工作经验； 3、具有第三方业务服务体系建设知识及经验； 4、具有较强的谈判能力、人际沟通与执行能力、客户服务能力，能熟练运用办公软件。 岗位职责： 1、负责制定并实施第三方产品销售、第三方服务发展规划并实现盈利； 2、负责搭建并完善第三方产品、服务进入、管理、退出的平台及流程； 3、负责第三方产品、服务的拓展、谈判、签约等事项，推广企业服务品牌； 4、负责第三方业务的运营管理和维护，保持良好的合作关系； 5、其他具体以岗位说明书为准。</w:t>
            </w:r>
          </w:p>
        </w:tc>
        <w:tc>
          <w:tcPr>
            <w:tcW w:w="90" w:type="dxa"/>
            <w:tcBorders>
              <w:top w:val="single" w:color="EDEDED" w:sz="4" w:space="0"/>
              <w:left w:val="nil"/>
            </w:tcBorders>
            <w:shd w:val="clear" w:color="auto" w:fill="FFFFFF"/>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6" w:hRule="atLeast"/>
          <w:tblCellSpacing w:w="0" w:type="dxa"/>
        </w:trPr>
        <w:tc>
          <w:tcPr>
            <w:tcW w:w="1310" w:type="dxa"/>
            <w:tcBorders>
              <w:top w:val="single" w:color="EDEDED" w:sz="4" w:space="0"/>
              <w:left w:val="single" w:color="C5C5C5" w:sz="2"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服务中心 服务经理</w:t>
            </w:r>
          </w:p>
        </w:tc>
        <w:tc>
          <w:tcPr>
            <w:tcW w:w="544"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2</w:t>
            </w:r>
          </w:p>
        </w:tc>
        <w:tc>
          <w:tcPr>
            <w:tcW w:w="865"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文学类、管理学类、经济学类、理学类相关专业</w:t>
            </w:r>
          </w:p>
        </w:tc>
        <w:tc>
          <w:tcPr>
            <w:tcW w:w="866"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655"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6"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3年</w:t>
            </w:r>
          </w:p>
        </w:tc>
        <w:tc>
          <w:tcPr>
            <w:tcW w:w="1310"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2918"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岗位资质： 1、全日制本科及以上学历，文学类、管理学类、经济学类、理学类相关专业； 2、3年及以上轮胎行业工作经验或有售后工作经验者； 3、具有良好的组织管理和沟通协调能力、敏锐的洞察力，较强的谈判能力； 4、具有独立分析和解决问题的能力。 岗位职责： 1、负责终端服务客户及用户满意度提升； 2、负责对终端服务网络实施监管控，全流程承接市场用户及客户满意度； 3、负责落实处理市场质量问题并跟踪闭环，推动咬合产品质量改善，提升产品竞争力； 4、负责对终端经销商服务商及大客户进行走访管理，定期沟通及时发现和解决终端抱怨，对信息闭环处理； 5、负责推进执行预理赔等政策，降低服务商代理商抱怨； 6、其他具体以岗位说明书为准。</w:t>
            </w:r>
          </w:p>
        </w:tc>
        <w:tc>
          <w:tcPr>
            <w:tcW w:w="90" w:type="dxa"/>
            <w:tcBorders>
              <w:top w:val="single" w:color="EDEDED" w:sz="4" w:space="0"/>
              <w:left w:val="nil"/>
            </w:tcBorders>
            <w:shd w:val="clear" w:color="auto" w:fill="FAFAFA"/>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204" w:hRule="atLeast"/>
          <w:tblCellSpacing w:w="0" w:type="dxa"/>
        </w:trPr>
        <w:tc>
          <w:tcPr>
            <w:tcW w:w="1310" w:type="dxa"/>
            <w:tcBorders>
              <w:top w:val="single" w:color="EDEDED" w:sz="4" w:space="0"/>
              <w:left w:val="single" w:color="C5C5C5" w:sz="2"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机械集团 工艺专员</w:t>
            </w:r>
          </w:p>
        </w:tc>
        <w:tc>
          <w:tcPr>
            <w:tcW w:w="544"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86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机械、数控类相关专业</w:t>
            </w:r>
          </w:p>
        </w:tc>
        <w:tc>
          <w:tcPr>
            <w:tcW w:w="86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65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3年</w:t>
            </w:r>
          </w:p>
        </w:tc>
        <w:tc>
          <w:tcPr>
            <w:tcW w:w="1310"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2918"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岗位资质： 1、全日制本科及以上学历，机械、数控类相关专业； 2、3年及以上从事加工工艺工作经验； 3、熟悉机械相关工艺流程、标准及规范； 4、具有较强的沟通、协调能力，具有较强的责任感和团队合作精神。 岗位职责； 1、负责执行工艺卡管理标准和规范，执行工艺定额标准对工件进行工艺编制和跟进,，优化工艺路线； 2、负责监督生产工艺执行情况； 3、负责每天进行工艺巡检，掌握质量情况；指导、督促车间员工严格执行工艺路线及时解决生产中出现的技术工艺问题，搞好工艺技术服务工作； 4、负责完成部门领导、公司领导交待的其他任务； 5、其他具体以岗位说明书为准。</w:t>
            </w:r>
          </w:p>
        </w:tc>
        <w:tc>
          <w:tcPr>
            <w:tcW w:w="90" w:type="dxa"/>
            <w:tcBorders>
              <w:top w:val="single" w:color="EDEDED" w:sz="4" w:space="0"/>
              <w:left w:val="nil"/>
            </w:tcBorders>
            <w:shd w:val="clear" w:color="auto" w:fill="FFFFFF"/>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26" w:hRule="atLeast"/>
          <w:tblCellSpacing w:w="0" w:type="dxa"/>
        </w:trPr>
        <w:tc>
          <w:tcPr>
            <w:tcW w:w="1310" w:type="dxa"/>
            <w:tcBorders>
              <w:top w:val="single" w:color="EDEDED" w:sz="4" w:space="0"/>
              <w:left w:val="single" w:color="C5C5C5" w:sz="2"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机械集团 炭黑技术专员</w:t>
            </w:r>
          </w:p>
        </w:tc>
        <w:tc>
          <w:tcPr>
            <w:tcW w:w="544"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865"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工学、农学、管理学类相关专业</w:t>
            </w:r>
          </w:p>
        </w:tc>
        <w:tc>
          <w:tcPr>
            <w:tcW w:w="866"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655"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6"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3年</w:t>
            </w:r>
          </w:p>
        </w:tc>
        <w:tc>
          <w:tcPr>
            <w:tcW w:w="1310"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2918"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岗位资质： 1、全日制本科及以上学历，工学、农学、管理学类相关专业； 2、3年及以上从事炭黑技术工作的经验，具有一定的团队管理能力； 3、熟悉产品工艺及标准规范，具有较强的综合管理能力。 岗位职责： 1、负责参与炭黑湿法造粒项目； 2、负责炭黑湿法造粒相关技术研发工作； 3、负责产品加工过程中的质量监控； 4、其他具体以岗位说明书为准。</w:t>
            </w:r>
          </w:p>
        </w:tc>
        <w:tc>
          <w:tcPr>
            <w:tcW w:w="90" w:type="dxa"/>
            <w:tcBorders>
              <w:top w:val="single" w:color="EDEDED" w:sz="4" w:space="0"/>
              <w:left w:val="nil"/>
            </w:tcBorders>
            <w:shd w:val="clear" w:color="auto" w:fill="FAFAFA"/>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59" w:hRule="atLeast"/>
          <w:tblCellSpacing w:w="0" w:type="dxa"/>
        </w:trPr>
        <w:tc>
          <w:tcPr>
            <w:tcW w:w="1310" w:type="dxa"/>
            <w:tcBorders>
              <w:top w:val="single" w:color="EDEDED" w:sz="4" w:space="0"/>
              <w:left w:val="single" w:color="C5C5C5" w:sz="2"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机械集团 客户经理</w:t>
            </w:r>
          </w:p>
        </w:tc>
        <w:tc>
          <w:tcPr>
            <w:tcW w:w="544"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86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工学、管理学、经济学、法学类相关专业</w:t>
            </w:r>
          </w:p>
        </w:tc>
        <w:tc>
          <w:tcPr>
            <w:tcW w:w="86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65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3-5年</w:t>
            </w:r>
          </w:p>
        </w:tc>
        <w:tc>
          <w:tcPr>
            <w:tcW w:w="1310"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2918"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岗位资质： 1、全日制本科及以上学历，工学、管理学、经济学、法学类相关专业； 2、3年及以上同行业相关工作经验； 3、守法守纪，对企业忠诚度高，具备良好的职业素养。 岗位职责： 1、负责获取市场区域内订单信息，维护客户关系； 2、负责从客户关系、商务等方面入手，配合做好订单落地； 3、负责服务区域内客户，提升客户满意度； 4、其他具体以岗位说明书为准。</w:t>
            </w:r>
          </w:p>
        </w:tc>
        <w:tc>
          <w:tcPr>
            <w:tcW w:w="90" w:type="dxa"/>
            <w:tcBorders>
              <w:top w:val="single" w:color="EDEDED" w:sz="4" w:space="0"/>
              <w:left w:val="nil"/>
            </w:tcBorders>
            <w:shd w:val="clear" w:color="auto" w:fill="FFFFFF"/>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275" w:hRule="atLeast"/>
          <w:tblCellSpacing w:w="0" w:type="dxa"/>
        </w:trPr>
        <w:tc>
          <w:tcPr>
            <w:tcW w:w="1310" w:type="dxa"/>
            <w:tcBorders>
              <w:top w:val="single" w:color="EDEDED" w:sz="4" w:space="0"/>
              <w:left w:val="single" w:color="C5C5C5" w:sz="2"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法务平台 法务经理 （合同）</w:t>
            </w:r>
          </w:p>
        </w:tc>
        <w:tc>
          <w:tcPr>
            <w:tcW w:w="544"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865"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法学类相关专业</w:t>
            </w:r>
          </w:p>
        </w:tc>
        <w:tc>
          <w:tcPr>
            <w:tcW w:w="866"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655"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6"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5-10年</w:t>
            </w:r>
          </w:p>
        </w:tc>
        <w:tc>
          <w:tcPr>
            <w:tcW w:w="1310"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2918" w:type="dxa"/>
            <w:tcBorders>
              <w:top w:val="single" w:color="EDEDED" w:sz="4" w:space="0"/>
              <w:left w:val="single" w:color="C5C5C5" w:sz="4" w:space="0"/>
            </w:tcBorders>
            <w:shd w:val="clear" w:color="auto" w:fill="FAFAFA"/>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岗位资质： 1、全日制本科及以上学历，法学类相关专业； 2、5年及以上工作经验，具有工作预算与执行能力，有团队合作精神； 3、认同企业文化，能承担工作压力； 4、通过国家法律职业资格考试者优先。 岗位职责： 1、负责按流程审查合同，主动识别风险并关闭风险； 2、负责对合同履行进行监控，对流程进行纠偏闭环； 3、负责销售流程中相关的标准文本的制作； 4、负责印鉴管理、提供法律咨询、法律培训； 5、负责对内及对外投资项目全流程法律风险管控； 6、其他具体以岗位说明书为准。</w:t>
            </w:r>
          </w:p>
        </w:tc>
        <w:tc>
          <w:tcPr>
            <w:tcW w:w="90" w:type="dxa"/>
            <w:tcBorders>
              <w:top w:val="single" w:color="EDEDED" w:sz="4" w:space="0"/>
              <w:left w:val="nil"/>
            </w:tcBorders>
            <w:shd w:val="clear" w:color="auto" w:fill="FAFAFA"/>
            <w:vAlign w:val="center"/>
          </w:tcPr>
          <w:p>
            <w:pPr>
              <w:jc w:val="center"/>
              <w:rPr>
                <w:rFonts w:hint="eastAsia" w:ascii="宋体"/>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46" w:hRule="atLeast"/>
          <w:tblCellSpacing w:w="0" w:type="dxa"/>
        </w:trPr>
        <w:tc>
          <w:tcPr>
            <w:tcW w:w="1310" w:type="dxa"/>
            <w:tcBorders>
              <w:top w:val="single" w:color="EDEDED" w:sz="4" w:space="0"/>
              <w:left w:val="single" w:color="C5C5C5" w:sz="2"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法务平台 法务经理 （诉讼）</w:t>
            </w:r>
          </w:p>
        </w:tc>
        <w:tc>
          <w:tcPr>
            <w:tcW w:w="544"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1</w:t>
            </w:r>
          </w:p>
        </w:tc>
        <w:tc>
          <w:tcPr>
            <w:tcW w:w="86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法学类相关专业</w:t>
            </w:r>
          </w:p>
        </w:tc>
        <w:tc>
          <w:tcPr>
            <w:tcW w:w="86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本科</w:t>
            </w:r>
          </w:p>
        </w:tc>
        <w:tc>
          <w:tcPr>
            <w:tcW w:w="655"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不限</w:t>
            </w:r>
          </w:p>
        </w:tc>
        <w:tc>
          <w:tcPr>
            <w:tcW w:w="976"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5-10年</w:t>
            </w:r>
          </w:p>
        </w:tc>
        <w:tc>
          <w:tcPr>
            <w:tcW w:w="1310"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面议</w:t>
            </w:r>
          </w:p>
        </w:tc>
        <w:tc>
          <w:tcPr>
            <w:tcW w:w="2918" w:type="dxa"/>
            <w:tcBorders>
              <w:top w:val="single" w:color="EDEDED" w:sz="4" w:space="0"/>
              <w:left w:val="single" w:color="C5C5C5"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jc w:val="center"/>
              <w:rPr>
                <w:color w:val="000000"/>
              </w:rPr>
            </w:pPr>
            <w:r>
              <w:rPr>
                <w:rFonts w:ascii="宋体" w:hAnsi="宋体" w:eastAsia="宋体" w:cs="宋体"/>
                <w:color w:val="000000"/>
                <w:kern w:val="0"/>
                <w:sz w:val="24"/>
                <w:szCs w:val="24"/>
                <w:bdr w:val="none" w:color="auto" w:sz="0" w:space="0"/>
                <w:lang w:val="en-US" w:eastAsia="zh-CN" w:bidi="ar"/>
              </w:rPr>
              <w:t>岗位资质： 1、全日制本科及以上学历，法学类相关专业； 2、5年及以上工作经验，具有工作预算与执行能力、团队合作精神； 3、认同企业文化，能承担工作压力； 4、通过国家法律职业资格考试者优先。 岗位职责： 1、负责承办各类案件并达标； 2、负责从案件逆向切入，找出业务流程中的风险点、问题点，拿出风险应对预案，进行关差闭环； 3、负责指导外部律师的工作并进行管控； 4、其他具体以岗位说明书为准。</w:t>
            </w:r>
          </w:p>
        </w:tc>
        <w:tc>
          <w:tcPr>
            <w:tcW w:w="90" w:type="dxa"/>
            <w:tcBorders>
              <w:top w:val="single" w:color="EDEDED" w:sz="4" w:space="0"/>
              <w:left w:val="nil"/>
            </w:tcBorders>
            <w:shd w:val="clear" w:color="auto" w:fill="FFFFFF"/>
            <w:vAlign w:val="center"/>
          </w:tcPr>
          <w:p>
            <w:pPr>
              <w:jc w:val="center"/>
              <w:rPr>
                <w:rFonts w:hint="eastAsia" w:ascii="宋体"/>
                <w:color w:val="00000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寰蒋闆呴粦">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73149"/>
    <w:rsid w:val="1B4731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2017-09-19T06:37:00Z</dcterms:created>
  <dc:creator>ASUS</dc:creator>
  <cp:lastModifiedBy>ASUS</cp:lastModifiedBy>
  <dcterms:modified xsi:type="dcterms:W3CDTF">2017-09-19T06:38:03Z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